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Alicia R.W. de </w:t>
      </w:r>
      <w:proofErr w:type="spellStart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Camilloni.EL</w:t>
      </w:r>
      <w:proofErr w:type="spellEnd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SABER DIDÁCTICO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gramStart"/>
      <w:r w:rsidRPr="00946DC2">
        <w:rPr>
          <w:rFonts w:ascii="Georgia" w:eastAsia="Times New Roman" w:hAnsi="Georgia" w:cs="Arial"/>
          <w:color w:val="333333"/>
          <w:spacing w:val="-15"/>
          <w:sz w:val="24"/>
          <w:szCs w:val="24"/>
          <w:bdr w:val="none" w:sz="0" w:space="0" w:color="auto" w:frame="1"/>
          <w:lang w:eastAsia="es-AR"/>
        </w:rPr>
        <w:t>capítulo</w:t>
      </w:r>
      <w:proofErr w:type="gramEnd"/>
      <w:r w:rsidRPr="00946DC2">
        <w:rPr>
          <w:rFonts w:ascii="Georgia" w:eastAsia="Times New Roman" w:hAnsi="Georgia" w:cs="Arial"/>
          <w:color w:val="333333"/>
          <w:spacing w:val="-15"/>
          <w:sz w:val="24"/>
          <w:szCs w:val="24"/>
          <w:bdr w:val="none" w:sz="0" w:space="0" w:color="auto" w:frame="1"/>
          <w:lang w:eastAsia="es-AR"/>
        </w:rPr>
        <w:t xml:space="preserve"> 1 justificación de la didáctica 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s-AR"/>
        </w:rPr>
        <w:t> 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El capítulo busca responder a la pregunta ¿por qué y para qué la didáctica?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La didáctica general es una disciplina necesaria si se construye de acuerdo con las siguientes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condiciones de legitimidad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:</w:t>
      </w:r>
    </w:p>
    <w:p w:rsidR="00946DC2" w:rsidRPr="00946DC2" w:rsidRDefault="00946DC2" w:rsidP="00946DC2">
      <w:pPr>
        <w:pStyle w:val="Prrafodelista"/>
        <w:numPr>
          <w:ilvl w:val="0"/>
          <w:numId w:val="1"/>
        </w:num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AR"/>
        </w:rPr>
        <w:t> 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La educación ha asumido variadas formas según los fines que la animan de acuerdo con las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concepciones de sociedad, de cultura y de hombre que le sirven de sustento.</w:t>
      </w:r>
      <w:r w:rsidRPr="00946D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AR"/>
        </w:rPr>
        <w:t> 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Con frecuencia el logro de los fines ha primado por sobre la consideración de la ética de los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medios pedagógicos y que, cuando esto ocurre, es porque una ideología de la eficacia ha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tenido a privilegiar los resultados a costa de la consideración de la correspondencia entre la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modalidad de la formación de la correspondencia entre la modalidad de la formación que se brinda y la libertad del sujeto. Si consideramos que todas las formas de influencia sobre las personas pueden ser consideradas modalidades legítimas de educación, entonces podríamos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afirmar que la didáctica no es necesaria.</w:t>
      </w:r>
      <w:r w:rsidRPr="00946D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AR"/>
        </w:rPr>
        <w:t> 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AR"/>
        </w:rPr>
      </w:pP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AR"/>
        </w:rPr>
        <w:t>b)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AR"/>
        </w:rPr>
        <w:t> 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Históricamente se ha enseñado de múltiples formas y cada una tiene un valor diferente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según la época. Si creyéramos que todas las formas y modalidades de enseñanza que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existen tienen el mismo valor que son eficaces para el logro de los propósitos de la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educación, entonces la didáctica no sería necesaria.</w:t>
      </w:r>
      <w:r w:rsidRPr="00946D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AR"/>
        </w:rPr>
        <w:t> 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AR"/>
        </w:rPr>
      </w:pP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c)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s-AR"/>
        </w:rPr>
        <w:t> 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Los contenidos de enseñanza, la metodología, los temas y los conceptos se originan en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diversas disciplinas y tienen variadas lógicas y formas de despliegue. Si creyéramos que la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enseñanza se debe transmitir los conocimientos disciplinarios con la misma lógica que se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descubrieron y con la que se organizaron y justificaron en cada campo disciplinario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entonces la didáctica no sería necesaria.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</w:pP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d)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s-AR"/>
        </w:rPr>
        <w:t> 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Los currículos, el por qué y el para qué aprender, según cada etapa de la vida, sufren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constantes cambios y acomodaciones de acuerdo con la sociedad, la cultura, la clase social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en que se inscriben y es necesario someter estos saber a una crítica constante sino la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didáctica no sería necesaria.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</w:pP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e)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s-AR"/>
        </w:rPr>
        <w:t> 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Si bien se ha democratizado la educación llegando a sectores antes excluidos, los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aprendizajes no son iguales para todos. Sólo algunos desarrollan habilidades del orden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superior y otros fracasan. Si deseáramos lo contrario a esta situación la didáctica no sería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necesaria.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f)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s-AR"/>
        </w:rPr>
        <w:lastRenderedPageBreak/>
        <w:t> 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Algunos autores sostienen que el límite de los aprendizajes que una persona puede realizar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está definido por las aptitudes con las que ha sido dotada. La enseñanza de acuerdo con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estos autores está sujeta y coartada. Si creyéramos esto la didáctica no sería necesaria. Cada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estudiante posee múltiples posibilidades de desarrollar sus aptitudes. La didáctica se ocupa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de reconocer esas condiciones de los estudiantes y buscar la manera de modificar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significativamente sus atributos.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</w:pP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g)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s-AR"/>
        </w:rPr>
        <w:t> 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La evaluación de los aprendizajes de los alumnos está sometida a reglamentaciones de nivel jurisdiccional e institucional que establecen con claridad formas períodos, tipos de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i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nstrumentos</w:t>
      </w:r>
      <w:proofErr w:type="gramEnd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, escalas de calificación y regímenes de promoción. Si creyéramos que con la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supervisión de la aplicación de las reglamentaciones vigentes se logra resolver los problemas que plantea la evaluación que puede hacer el profesor de lo que el alumno ha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aprendido, entonces podríamos afirmar que la didáctica no es necesaria. La didáctica trabaja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en la evaluación porque ella es compleja y variable, imprevista; ya que no siempre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determina el éxito de los estudiantes ni se reduce a la aplicación de unas reglamentaciones.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</w:pP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h)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es-AR"/>
        </w:rPr>
        <w:t> 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Si pensáramos que enseñar es fácil, que el profesor nace o no con talento; si pensáramos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que todo está bien en la educación o es poco lo que se puede hacer, entonces construir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conocimientos didácticos sería una tarea sin sentido.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La didáctica renace sobre la base de la crítica a los 8 supuestos anteriores.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La didáctica es necesaria porque se puede enseñar mejor en cualquier campo del conocimiento 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ello está sujeto a una revisión y reflexión constante de los currículos, las estrategias de enseñanza,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los contenidos, las evaluaciones, las posturas de quien enseña y quien aprende; así, la didáctica 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una disciplina teórica que estudia la acción pedagógica desde su descripción, explicación 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fundamentación.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La didáctica , en consecuencia, es una disciplina que se construye sobre la base de la toma de posición ante problemas esenciales de la educación como práctica social, y que procura resolverlos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mediante el diseño y evaluación de proyectos de enseñanza, en los distintos niveles de adopción,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implementación y evaluación de decisiones de diseño y desarrollo curricular, de programación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didáctica, de estrategias de enseñanza, de configuración de ambientes de aprendizajes situaciones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didácticas, de la elaboración de materiales de enseñanza, del uso de medios y recursos, de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evaluación tanto de los aprendizajes cuanto de la calidad de la enseñanza y de la evaluación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institucional.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b/>
          <w:bCs/>
          <w:i/>
          <w:iCs/>
          <w:color w:val="383838"/>
          <w:sz w:val="24"/>
          <w:szCs w:val="24"/>
          <w:bdr w:val="none" w:sz="0" w:space="0" w:color="auto" w:frame="1"/>
          <w:lang w:eastAsia="es-AR"/>
        </w:rPr>
        <w:t>Cap.´2 “Didáctica General y Didácticas específicas” 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bdr w:val="none" w:sz="0" w:space="0" w:color="auto" w:frame="1"/>
          <w:lang w:eastAsia="es-AR"/>
        </w:rPr>
        <w:t> 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Alicia de </w:t>
      </w:r>
      <w:proofErr w:type="spellStart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Camilloni</w:t>
      </w:r>
      <w:proofErr w:type="spellEnd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se propone a exponer el complicado problema de las relaciones entre las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didácticas.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Mientras la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i/>
          <w:iCs/>
          <w:color w:val="383838"/>
          <w:spacing w:val="-15"/>
          <w:sz w:val="24"/>
          <w:szCs w:val="24"/>
          <w:bdr w:val="none" w:sz="0" w:space="0" w:color="auto" w:frame="1"/>
          <w:lang w:eastAsia="es-AR"/>
        </w:rPr>
        <w:t> Didáctica General</w:t>
      </w:r>
      <w:r>
        <w:rPr>
          <w:rFonts w:ascii="Times New Roman" w:eastAsia="Times New Roman" w:hAnsi="Times New Roman" w:cs="Times New Roman"/>
          <w:i/>
          <w:iCs/>
          <w:color w:val="383838"/>
          <w:spacing w:val="-15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constituye una teoría de la acción pedagógica sin más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especificación, los principios de la misma tienen alcances más amplios y con la intención manifiesta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de abarcar la más amplia gama de situaciones diversas de enseñanza. Su enfoque es, por tanto, el delos aspectos comunes de las situaciones, </w:t>
      </w:r>
      <w:proofErr w:type="spellStart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mas</w:t>
      </w:r>
      <w:proofErr w:type="spellEnd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allá de las diferencias que también las caracterizan.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Para la autora, las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i/>
          <w:iCs/>
          <w:color w:val="383838"/>
          <w:spacing w:val="-15"/>
          <w:sz w:val="24"/>
          <w:szCs w:val="24"/>
          <w:bdr w:val="none" w:sz="0" w:space="0" w:color="auto" w:frame="1"/>
          <w:lang w:eastAsia="es-AR"/>
        </w:rPr>
        <w:t>didácticas especiales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</w:pP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lastRenderedPageBreak/>
        <w:t> (</w:t>
      </w:r>
      <w:proofErr w:type="gramStart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o</w:t>
      </w:r>
      <w:proofErr w:type="gramEnd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específicas) desarrollan campos sistemáticos del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conocimiento didáctico que se caracterizan por partir de una delimitación de regiones particulares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del mundo de la enseñanza. Existen una significativa multiplicidad de categorías y niveles o grados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de análisis en su definición. Entre los criterios más usuales encontramos los siguientes: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</w:pPr>
    </w:p>
    <w:p w:rsidR="00946DC2" w:rsidRPr="00946DC2" w:rsidRDefault="00946DC2" w:rsidP="00946DC2">
      <w:pPr>
        <w:pStyle w:val="Prrafodelista"/>
        <w:numPr>
          <w:ilvl w:val="0"/>
          <w:numId w:val="2"/>
        </w:num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Arial" w:eastAsia="Times New Roman" w:hAnsi="Arial" w:cs="Arial"/>
          <w:color w:val="383838"/>
          <w:sz w:val="24"/>
          <w:szCs w:val="24"/>
          <w:bdr w:val="none" w:sz="0" w:space="0" w:color="auto" w:frame="1"/>
          <w:lang w:eastAsia="es-AR"/>
        </w:rPr>
        <w:t> 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bdr w:val="none" w:sz="0" w:space="0" w:color="auto" w:frame="1"/>
          <w:lang w:eastAsia="es-AR"/>
        </w:rPr>
        <w:t> Didácticas específicas según los distintos niveles del sistema educativo: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</w:pP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 </w:t>
      </w:r>
      <w:proofErr w:type="gramStart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didáctica</w:t>
      </w:r>
      <w:proofErr w:type="gramEnd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de la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educación inicial, primaria, secundaria, superior y universitaria.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</w:pP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2.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Arial" w:eastAsia="Times New Roman" w:hAnsi="Arial" w:cs="Arial"/>
          <w:color w:val="383838"/>
          <w:sz w:val="24"/>
          <w:szCs w:val="24"/>
          <w:bdr w:val="none" w:sz="0" w:space="0" w:color="auto" w:frame="1"/>
          <w:lang w:eastAsia="es-AR"/>
        </w:rPr>
        <w:t> 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bdr w:val="none" w:sz="0" w:space="0" w:color="auto" w:frame="1"/>
          <w:lang w:eastAsia="es-AR"/>
        </w:rPr>
        <w:t> </w:t>
      </w:r>
      <w:proofErr w:type="gramStart"/>
      <w:r w:rsidRPr="00946DC2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bdr w:val="none" w:sz="0" w:space="0" w:color="auto" w:frame="1"/>
          <w:lang w:eastAsia="es-AR"/>
        </w:rPr>
        <w:t>Didáctica específicas</w:t>
      </w:r>
      <w:proofErr w:type="gramEnd"/>
      <w:r w:rsidRPr="00946DC2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bdr w:val="none" w:sz="0" w:space="0" w:color="auto" w:frame="1"/>
          <w:lang w:eastAsia="es-AR"/>
        </w:rPr>
        <w:t xml:space="preserve"> según las edades de los alumnos: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</w:pPr>
      <w:proofErr w:type="gramStart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didáctica</w:t>
      </w:r>
      <w:proofErr w:type="gramEnd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de niños, de adolescentes,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de jóvenes adultos, de adultos y adultos mayores, etc.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</w:pP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3.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Arial" w:eastAsia="Times New Roman" w:hAnsi="Arial" w:cs="Arial"/>
          <w:color w:val="383838"/>
          <w:sz w:val="24"/>
          <w:szCs w:val="24"/>
          <w:bdr w:val="none" w:sz="0" w:space="0" w:color="auto" w:frame="1"/>
          <w:lang w:eastAsia="es-AR"/>
        </w:rPr>
        <w:t> 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bdr w:val="none" w:sz="0" w:space="0" w:color="auto" w:frame="1"/>
          <w:lang w:eastAsia="es-AR"/>
        </w:rPr>
        <w:t> Didácticas específicas de las disciplinas: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</w:pP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 </w:t>
      </w:r>
      <w:proofErr w:type="gramStart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didáctica</w:t>
      </w:r>
      <w:proofErr w:type="gramEnd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de la matemática, de la lengua, de las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Ciencias Sociales, de la Educación Física, etc.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</w:pP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4.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Arial" w:eastAsia="Times New Roman" w:hAnsi="Arial" w:cs="Arial"/>
          <w:color w:val="383838"/>
          <w:sz w:val="24"/>
          <w:szCs w:val="24"/>
          <w:bdr w:val="none" w:sz="0" w:space="0" w:color="auto" w:frame="1"/>
          <w:lang w:eastAsia="es-AR"/>
        </w:rPr>
        <w:t> 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bdr w:val="none" w:sz="0" w:space="0" w:color="auto" w:frame="1"/>
          <w:lang w:eastAsia="es-AR"/>
        </w:rPr>
        <w:t> Didácticas específicas según el tipo de institución: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proofErr w:type="gramStart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didáctica</w:t>
      </w:r>
      <w:proofErr w:type="gramEnd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específica de la Educación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Formal o de la Educación No formal, con subdivisiones según se trate de las escuelas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rurales o urbanas en el primer caso</w:t>
      </w:r>
    </w:p>
    <w:p w:rsidR="00946DC2" w:rsidRPr="00946DC2" w:rsidRDefault="00946DC2" w:rsidP="00946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46DC2"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es-AR"/>
        </w:rPr>
        <w:t> 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5.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Arial" w:eastAsia="Times New Roman" w:hAnsi="Arial" w:cs="Arial"/>
          <w:color w:val="383838"/>
          <w:sz w:val="24"/>
          <w:szCs w:val="24"/>
          <w:bdr w:val="none" w:sz="0" w:space="0" w:color="auto" w:frame="1"/>
          <w:lang w:eastAsia="es-AR"/>
        </w:rPr>
        <w:t> 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bdr w:val="none" w:sz="0" w:space="0" w:color="auto" w:frame="1"/>
          <w:lang w:eastAsia="es-AR"/>
        </w:rPr>
        <w:t> Didácticas específicas según las características de los sujetos: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 </w:t>
      </w:r>
      <w:proofErr w:type="gramStart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inmigrantes</w:t>
      </w:r>
      <w:proofErr w:type="gramEnd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, personas que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vivieron situaciones traumáticas, minorías culturales o personas con Necesidades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Educativas Especiales (NEE).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bdr w:val="none" w:sz="0" w:space="0" w:color="auto" w:frame="1"/>
          <w:lang w:eastAsia="es-AR"/>
        </w:rPr>
        <w:t> 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</w:pP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El mayor desarrollo de las didácticas específicas de las disciplinas fue obra de los especialistas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en los diferentes campos del conocimiento y por lo tanto no provino del campo de la didáctica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general.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Históricamente, el primero en ocuparse de las didácticas específicas fue Juan Amos </w:t>
      </w:r>
      <w:proofErr w:type="gramStart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Comenio(</w:t>
      </w:r>
      <w:proofErr w:type="gramEnd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1657) en su obra La Didáctica Magna y luego (1658) en </w:t>
      </w:r>
      <w:proofErr w:type="spellStart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Janua</w:t>
      </w:r>
      <w:proofErr w:type="spellEnd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 </w:t>
      </w:r>
      <w:proofErr w:type="spellStart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Linguarum</w:t>
      </w:r>
      <w:proofErr w:type="spellEnd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proofErr w:type="spellStart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Reserata</w:t>
      </w:r>
      <w:proofErr w:type="spellEnd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. Sin embargo,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el mayor desarrollo de las didácticas específicas está centrado en los especialistas de las disciplinas. No se puede afirmar que existen relaciones verticales y dependientes entre la didáctica general y las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específicas, ni viceversa, pues las condiciones de aparición de cada una difieren notablemente. Se puede hablar entonces de vinculaciones intrincadas y complejas. Wolfgang </w:t>
      </w:r>
      <w:proofErr w:type="spellStart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Klafki</w:t>
      </w:r>
      <w:proofErr w:type="spellEnd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señala algunas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relaciones entre éstas dos: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Primera tesis: No existe jerarquía entre la relación sino reciprocidad.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Segunda tesis: La relaciones entre didáctica general y específicas está basada en la igualdad 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cooperación constructiva.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Tercera tesis: Las dos son necesarias unas a otra.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lastRenderedPageBreak/>
        <w:t>Cuarta tesis: Las didácticas específicas son independientes de la contribución que hagan a la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educación.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Quinta tesis: Las didácticas específicas realizan modelos detallados desde su especificidad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 Por esta razón, la didáctica general (DG) y las didácticas especiales (DE), no siempre están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alineadas, aunque tampoco es muy frecuente que se contradigan abiertamente. Sus relaciones son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complicadas. No sería ajustado a la verdad esquematizarlas al modo de un árbol en el que la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didáctica general constituyera el tronco del que como ramas derivaran de las didácticas de las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disciplinas. Sus vinculaciones son mucho más intrincadas. En conclusión, las relaciones que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establecen la DG y las DE, se caracterizan por poseer resistencias, debates, propios de los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enfrentamientos entre comunidades académicas de los campos. Para la autora, estos campos de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conocimiento (la DG y las DE) deberían coordinarse en un esfuerzo teórico y práctico siempre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difícil de lograr, lo cual implica un gran desafío.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Sabemos que las DE aportan a las DG teorías que la enriquecen, como tal, las dos se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complementan a la vez, como campo independientes, pero a la vez relacionados.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Una relación que es innegable es que la didáctica general sintetiza los principios generales de las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didácticas específicas, la didáctica general </w:t>
      </w:r>
      <w:proofErr w:type="spellStart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esta</w:t>
      </w:r>
      <w:proofErr w:type="spellEnd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más cerca de las teorías del aprendizaje y los procesos de cognición. A su vez, las didácticas específicas están más cerca de la práctica pues se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aproximan a los contenidos, a las edades, al nivel educativo. En consecuencia, debe haber un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acercamiento entre la didáctica general y las específicas, un puente, unas relaciones desde la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integración de los saberes teóricos y de acción. Esta idea es un reto a las instituciones educativas.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Ocurre que algunos estudios en didácticas específicas han alimentado el campo de la didáctica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general pues sus resultados suelen ser recurrentes; a la vez sucede lo opuesto como es el caso del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estudio de la </w:t>
      </w:r>
      <w:proofErr w:type="spellStart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metacognición</w:t>
      </w:r>
      <w:proofErr w:type="spellEnd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Paralelamente hay que reconocer que la psicología ha aportado a la didáctica desde: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1. La teoría de la cognición situada. Los estudios de Philip Johnson-</w:t>
      </w:r>
      <w:proofErr w:type="spellStart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Lair</w:t>
      </w:r>
      <w:proofErr w:type="spellEnd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y Brown, Collins y </w:t>
      </w:r>
      <w:proofErr w:type="spellStart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Duguid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señalan la importancia de situar en el contexto los aprendizajes, en saberlos emplear en las culturas,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las profesiones, los oficios.</w:t>
      </w:r>
    </w:p>
    <w:p w:rsidR="00946DC2" w:rsidRDefault="00946DC2" w:rsidP="00946DC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2. Teoría de las inteligencias múltiples. Gardner y </w:t>
      </w:r>
      <w:proofErr w:type="spellStart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Sternberg</w:t>
      </w:r>
      <w:proofErr w:type="spellEnd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han contribuido a la didáctica general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en los procesos de aprender y su relación con la enseñanza.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3. Psicología del aprendizaje. Presentan los modelos fríos y calientes. Los primeros trabajan sobre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la información recibida, la codificación y la resolución de problemas y los segundos, sin rechazarlos primeros se centran en los factores motivacionales, el conocimiento previo, el interés</w:t>
      </w:r>
    </w:p>
    <w:p w:rsidR="00946DC2" w:rsidRPr="00946DC2" w:rsidRDefault="00946DC2" w:rsidP="00946DC2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En otros casos una disciplina específica aporta a la didáctica general, como es el caso de la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enseñanza de las matemáticas con </w:t>
      </w:r>
      <w:proofErr w:type="spellStart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Brousseau</w:t>
      </w:r>
      <w:proofErr w:type="spellEnd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, Artigue y </w:t>
      </w:r>
      <w:proofErr w:type="spellStart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Chevallard</w:t>
      </w:r>
      <w:proofErr w:type="spellEnd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, que han servido de guía en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trabajos similares aplicados a otras disciplinas.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El campo de </w:t>
      </w:r>
      <w:proofErr w:type="gramStart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la ciencias naturales</w:t>
      </w:r>
      <w:proofErr w:type="gramEnd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ha aportado en la concepción del alumno y el aula con la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 propuesta de instaurar “debates científicos” traba </w:t>
      </w:r>
      <w:proofErr w:type="spellStart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jar</w:t>
      </w:r>
      <w:proofErr w:type="spellEnd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con la observación y la experimentación para problematizar los fenómenos.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Los anteriores ejemplos permiten pensar que es posible transferir el saber de las didácticas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específicas a la didáctica general. En contraposición, los trabajos de </w:t>
      </w:r>
      <w:proofErr w:type="spellStart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Vigotsky</w:t>
      </w:r>
      <w:proofErr w:type="spellEnd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. Piaget y Bruner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demuestran que los principios de la didáctica general se pueden comprobar en las específicas, un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ejemplo de ello es que, aunque distintos alumnos den respuestas semejantes sus significados pueden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ser diferentes. Otro ejemplo es la didáctica general de enfoque socio-cognitivo, donde se </w:t>
      </w:r>
      <w:proofErr w:type="spellStart"/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enseñades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de la individualidad y el aprendizaje autónomo y a la vez se tiene en cuenta el aprendizaje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colaborativo. Se parte del conflicto socio-cognitivo que se ha convertido en un patrimonio teórico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de la didáctica general y las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lastRenderedPageBreak/>
        <w:t>didácticas específicas. Un último ejemplo son dos aportes de la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didáctica general a las específicas: la teoría del currículo y la teoría de la evaluación de los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aprendizajes.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En el diseño de actividades didácticas confluyen también las didácticas específicas y la general.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Varias disciplinas responden a los principios de la enseñanza basada en problemas y el aprendizaje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>significativo.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Finalmente, dos campos en los que la DG ha efectuado aportes que no hubieran podido surgir de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modo integral desde ninguna de las didácticas específicas. Son ellos la teoría del currículo y la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teoría de la evaluación de los aprendizajes y de la calidad de la enseñanza.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La teoría del currículo se construye con variados aportes provenientes de visiones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proofErr w:type="spellStart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abarcativas</w:t>
      </w:r>
      <w:proofErr w:type="spellEnd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de las problemáticas sociales, culturales, políticas pedagógicas que se proponen dar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respuesta a las clásicas cuestiones relacionadas con las misiones de la escuela y la formación de las personas. El currículo es seguramente el objeto de conocimiento más complejo que tiene laDidáctica. Las derivaciones y las aportaciones que fue recibiendo desde las diversas DE la han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enriquecido sin alterar su carácter de fundamento para las decisiones que se tomen respecto de lo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que se debe enseñar, </w:t>
      </w:r>
      <w:proofErr w:type="spellStart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cuando</w:t>
      </w:r>
      <w:proofErr w:type="spellEnd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y cómo enseñarlo.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De manera semejante, la teoría de la evaluación de los aprendizajes, desarrollada desde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comienzos del siglo XX, ha ido construyéndose sobre la base de principios generales, fundados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sobre teorías epistemológicas, psicológicas y didácticas. </w:t>
      </w:r>
      <w:proofErr w:type="gramStart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cuestiones</w:t>
      </w:r>
      <w:proofErr w:type="gramEnd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tales como las concepciones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acerca de qué es conocer y saber, qué es lo que puede conocerse acerca de los saberes de a los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estudiantes, como obtener evidencias de </w:t>
      </w:r>
      <w:proofErr w:type="spellStart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cuales</w:t>
      </w:r>
      <w:proofErr w:type="spellEnd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y cómo son esos saberes, cómo pueden apreciarse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sus niveles de calidad, que instrumentos de evaluación de evaluación empelar y de que modos pueden hacerse estimaciones sobre el valor de los aprendizajes que los alumnos han logrado, todas preguntas generales que reciben también respuestas generales.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Por último, la DG no puede reemplazar a las DE ni estas a aquella. Constituyen una familia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 xml:space="preserve"> </w:t>
      </w:r>
      <w:bookmarkStart w:id="0" w:name="_GoBack"/>
      <w:bookmarkEnd w:id="0"/>
      <w:r w:rsidRPr="00946DC2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es-AR"/>
        </w:rPr>
        <w:t>disciplinaria con una fuerte impronta de rasgos comunes.</w:t>
      </w:r>
    </w:p>
    <w:p w:rsidR="00946DC2" w:rsidRPr="00946DC2" w:rsidRDefault="00946DC2" w:rsidP="00946DC2">
      <w:pPr>
        <w:shd w:val="clear" w:color="auto" w:fill="F1F1F1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946DC2">
        <w:rPr>
          <w:rFonts w:ascii="Arial" w:eastAsia="Times New Roman" w:hAnsi="Arial" w:cs="Arial"/>
          <w:noProof/>
          <w:color w:val="000000"/>
          <w:sz w:val="24"/>
          <w:szCs w:val="24"/>
          <w:lang w:eastAsia="es-AR"/>
        </w:rPr>
        <w:drawing>
          <wp:inline distT="0" distB="0" distL="0" distR="0">
            <wp:extent cx="6276340" cy="3761740"/>
            <wp:effectExtent l="0" t="0" r="0" b="0"/>
            <wp:docPr id="1" name="Imagen 1" descr="https://html1-f.scribdassets.com/6sc2d74wxs42hl54/images/4-119f62de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1-f.scribdassets.com/6sc2d74wxs42hl54/images/4-119f62de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DC2" w:rsidRPr="00946DC2" w:rsidRDefault="00946DC2">
      <w:pPr>
        <w:rPr>
          <w:sz w:val="24"/>
          <w:szCs w:val="24"/>
        </w:rPr>
      </w:pPr>
    </w:p>
    <w:sectPr w:rsidR="00946DC2" w:rsidRPr="00946D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60A1D"/>
    <w:multiLevelType w:val="hybridMultilevel"/>
    <w:tmpl w:val="3C80514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A60E7"/>
    <w:multiLevelType w:val="hybridMultilevel"/>
    <w:tmpl w:val="17265A1C"/>
    <w:lvl w:ilvl="0" w:tplc="731A27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8383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C2"/>
    <w:rsid w:val="006D287D"/>
    <w:rsid w:val="0094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0ADDEC-4372-4AD5-99EC-ADB9E52B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946DC2"/>
  </w:style>
  <w:style w:type="character" w:customStyle="1" w:styleId="l">
    <w:name w:val="l"/>
    <w:basedOn w:val="Fuentedeprrafopredeter"/>
    <w:rsid w:val="00946DC2"/>
  </w:style>
  <w:style w:type="character" w:customStyle="1" w:styleId="apple-converted-space">
    <w:name w:val="apple-converted-space"/>
    <w:basedOn w:val="Fuentedeprrafopredeter"/>
    <w:rsid w:val="00946DC2"/>
  </w:style>
  <w:style w:type="character" w:customStyle="1" w:styleId="l10">
    <w:name w:val="l10"/>
    <w:basedOn w:val="Fuentedeprrafopredeter"/>
    <w:rsid w:val="00946DC2"/>
  </w:style>
  <w:style w:type="character" w:customStyle="1" w:styleId="l7">
    <w:name w:val="l7"/>
    <w:basedOn w:val="Fuentedeprrafopredeter"/>
    <w:rsid w:val="00946DC2"/>
  </w:style>
  <w:style w:type="character" w:customStyle="1" w:styleId="l6">
    <w:name w:val="l6"/>
    <w:basedOn w:val="Fuentedeprrafopredeter"/>
    <w:rsid w:val="00946DC2"/>
  </w:style>
  <w:style w:type="paragraph" w:styleId="Prrafodelista">
    <w:name w:val="List Paragraph"/>
    <w:basedOn w:val="Normal"/>
    <w:uiPriority w:val="34"/>
    <w:qFormat/>
    <w:rsid w:val="00946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2131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1</cp:revision>
  <dcterms:created xsi:type="dcterms:W3CDTF">2016-03-28T12:47:00Z</dcterms:created>
  <dcterms:modified xsi:type="dcterms:W3CDTF">2016-03-28T13:04:00Z</dcterms:modified>
</cp:coreProperties>
</file>